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E98FCFD" w:rsidR="007B2B9C" w:rsidRPr="007B2B9C" w:rsidRDefault="00BC5717" w:rsidP="002A57EE">
      <w:pPr>
        <w:pStyle w:val="BodyText"/>
        <w:jc w:val="left"/>
        <w:rPr>
          <w:rFonts w:asciiTheme="minorHAnsi" w:hAnsiTheme="minorHAnsi" w:cstheme="minorHAnsi"/>
          <w:b/>
          <w:szCs w:val="24"/>
        </w:rPr>
      </w:pPr>
      <w:r>
        <w:rPr>
          <w:noProof/>
        </w:rPr>
        <w:drawing>
          <wp:inline distT="0" distB="0" distL="0" distR="0" wp14:anchorId="4E2E7417" wp14:editId="07A0643C">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987" cy="962028"/>
                    </a:xfrm>
                    <a:prstGeom prst="rect">
                      <a:avLst/>
                    </a:prstGeom>
                  </pic:spPr>
                </pic:pic>
              </a:graphicData>
            </a:graphic>
          </wp:inline>
        </w:drawing>
      </w:r>
    </w:p>
    <w:p w14:paraId="2D3FD2A2" w14:textId="4307614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A19CE59" w:rsidR="007B2B9C" w:rsidRPr="002A57EE" w:rsidRDefault="00F36884"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Heath </w:t>
      </w:r>
      <w:r w:rsidR="00B65D8C">
        <w:rPr>
          <w:rFonts w:asciiTheme="minorHAnsi" w:hAnsiTheme="minorHAnsi" w:cstheme="minorHAnsi"/>
          <w:b/>
          <w:sz w:val="28"/>
          <w:szCs w:val="24"/>
        </w:rPr>
        <w:t xml:space="preserve">United Reformed Church, </w:t>
      </w:r>
      <w:r>
        <w:rPr>
          <w:rFonts w:asciiTheme="minorHAnsi" w:hAnsiTheme="minorHAnsi" w:cstheme="minorHAnsi"/>
          <w:b/>
          <w:sz w:val="28"/>
          <w:szCs w:val="24"/>
        </w:rPr>
        <w:t>Halifax</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47930F56" w:rsidR="007B2B9C" w:rsidRPr="007B2B9C" w:rsidRDefault="00B4237B"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eldership (serving elders) of </w:t>
      </w:r>
      <w:r w:rsidR="00F36884" w:rsidRPr="00F36884">
        <w:rPr>
          <w:rFonts w:asciiTheme="minorHAnsi" w:hAnsiTheme="minorHAnsi" w:cstheme="minorHAnsi"/>
          <w:color w:val="000000"/>
          <w:szCs w:val="24"/>
        </w:rPr>
        <w:t xml:space="preserve">Heath </w:t>
      </w:r>
      <w:r w:rsidRPr="00F36884">
        <w:rPr>
          <w:rFonts w:asciiTheme="minorHAnsi" w:hAnsiTheme="minorHAnsi" w:cstheme="minorHAnsi"/>
          <w:color w:val="000000"/>
          <w:szCs w:val="24"/>
        </w:rPr>
        <w:t>United Reformed Church</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B5884DE"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eldership of </w:t>
      </w:r>
      <w:r w:rsidR="00F36884" w:rsidRPr="00F36884">
        <w:rPr>
          <w:rFonts w:asciiTheme="minorHAnsi" w:hAnsiTheme="minorHAnsi" w:cstheme="minorHAnsi"/>
          <w:color w:val="000000"/>
          <w:szCs w:val="24"/>
        </w:rPr>
        <w:t>Heath United Reformed Church</w:t>
      </w:r>
      <w:r w:rsidR="00F36884" w:rsidRPr="007B2B9C">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administer membership records</w:t>
      </w:r>
      <w:r>
        <w:rPr>
          <w:rFonts w:asciiTheme="minorHAnsi" w:hAnsiTheme="minorHAnsi" w:cstheme="minorHAnsi"/>
          <w:color w:val="000000"/>
          <w:szCs w:val="24"/>
          <w:lang w:val="en"/>
        </w:rPr>
        <w:t>;</w:t>
      </w:r>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
    <w:p w14:paraId="4B6988C3" w14:textId="4DA1630D"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the church</w:t>
      </w:r>
      <w:r w:rsidRPr="007B2B9C">
        <w:rPr>
          <w:rFonts w:asciiTheme="minorHAnsi" w:hAnsiTheme="minorHAnsi" w:cstheme="minorHAnsi"/>
        </w:rPr>
        <w:t>;</w:t>
      </w:r>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32569C17" w14:textId="6AD7F3DC"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manage </w:t>
      </w:r>
      <w:r w:rsidR="00F36884" w:rsidRPr="00F36884">
        <w:rPr>
          <w:rFonts w:asciiTheme="minorHAnsi" w:hAnsiTheme="minorHAnsi" w:cstheme="minorHAnsi"/>
          <w:color w:val="000000"/>
          <w:szCs w:val="24"/>
          <w:lang w:val="en"/>
        </w:rPr>
        <w:t>building users,</w:t>
      </w:r>
      <w:r w:rsidRPr="007B2B9C">
        <w:rPr>
          <w:rFonts w:asciiTheme="minorHAnsi" w:hAnsiTheme="minorHAnsi" w:cstheme="minorHAnsi"/>
          <w:color w:val="000000"/>
          <w:szCs w:val="24"/>
          <w:lang w:val="en"/>
        </w:rPr>
        <w:t xml:space="preserve"> volunteers</w:t>
      </w:r>
      <w:r w:rsidR="00F36884">
        <w:rPr>
          <w:rFonts w:asciiTheme="minorHAnsi" w:hAnsiTheme="minorHAnsi" w:cstheme="minorHAnsi"/>
          <w:color w:val="000000"/>
          <w:szCs w:val="24"/>
          <w:lang w:val="en"/>
        </w:rPr>
        <w:t>, contractors and employees</w:t>
      </w:r>
      <w:r w:rsidRPr="007B2B9C">
        <w:rPr>
          <w:rFonts w:asciiTheme="minorHAnsi" w:hAnsiTheme="minorHAnsi" w:cstheme="minorHAnsi"/>
          <w:color w:val="000000"/>
          <w:szCs w:val="24"/>
          <w:lang w:val="en"/>
        </w:rPr>
        <w:t xml:space="preserve">;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1E3123E1" w:rsidR="007B2B9C" w:rsidRP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 (eg DBS signatories) to the synod office and Church House.  This enables the synod and national administration of the United Reformed Church.</w:t>
      </w:r>
    </w:p>
    <w:p w14:paraId="72DAA789" w14:textId="79812FA8" w:rsidR="007B2B9C" w:rsidRPr="007B2B9C" w:rsidRDefault="007B2B9C" w:rsidP="00F95E04">
      <w:pPr>
        <w:pStyle w:val="NormalWeb"/>
        <w:spacing w:after="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361C5C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471A535D" w14:textId="77777777" w:rsidR="00FA679B" w:rsidRDefault="00FA679B" w:rsidP="002A57EE">
      <w:pPr>
        <w:pStyle w:val="BodyText"/>
        <w:jc w:val="left"/>
        <w:rPr>
          <w:rFonts w:asciiTheme="minorHAnsi" w:hAnsiTheme="minorHAnsi" w:cstheme="minorHAnsi"/>
          <w:b/>
          <w:color w:val="000000"/>
          <w:szCs w:val="24"/>
        </w:rPr>
      </w:pP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50032127"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bookmarkStart w:id="1" w:name="_GoBack"/>
            <w:bookmarkEnd w:id="1"/>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3EEDF1E2"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56FA09C7" w:rsidR="00882B23" w:rsidRDefault="004F241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long as the gift aid continues to apply</w:t>
            </w:r>
            <w:r w:rsidR="00696FD8">
              <w:rPr>
                <w:rFonts w:asciiTheme="minorHAnsi" w:hAnsiTheme="minorHAnsi" w:cstheme="minorHAnsi"/>
                <w:color w:val="000000"/>
                <w:szCs w:val="24"/>
              </w:rPr>
              <w:t xml:space="preserve"> and </w:t>
            </w:r>
            <w:r w:rsidR="00FA679B">
              <w:rPr>
                <w:rFonts w:asciiTheme="minorHAnsi" w:hAnsiTheme="minorHAnsi" w:cstheme="minorHAnsi"/>
                <w:color w:val="000000"/>
                <w:szCs w:val="24"/>
              </w:rPr>
              <w:t xml:space="preserve">6 years after </w:t>
            </w:r>
            <w:r w:rsidR="00696FD8">
              <w:rPr>
                <w:rFonts w:asciiTheme="minorHAnsi" w:hAnsiTheme="minorHAnsi" w:cstheme="minorHAnsi"/>
                <w:color w:val="000000"/>
                <w:szCs w:val="24"/>
              </w:rPr>
              <w:t>gift aided giving ceases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6D08135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E8C3A2D" w14:textId="77777777" w:rsidTr="00882B23">
        <w:tc>
          <w:tcPr>
            <w:tcW w:w="3397" w:type="dxa"/>
          </w:tcPr>
          <w:p w14:paraId="2956603B" w14:textId="3AC717AC"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eg Church holidays </w:t>
            </w:r>
          </w:p>
        </w:tc>
        <w:tc>
          <w:tcPr>
            <w:tcW w:w="5926" w:type="dxa"/>
          </w:tcPr>
          <w:p w14:paraId="71B66D4E" w14:textId="05909857"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(eg an accident) which indicates that records should be retained for a longer period.</w:t>
            </w:r>
          </w:p>
        </w:tc>
      </w:tr>
      <w:tr w:rsidR="008A63EF" w14:paraId="0850D6BF" w14:textId="77777777" w:rsidTr="00882B23">
        <w:tc>
          <w:tcPr>
            <w:tcW w:w="3397" w:type="dxa"/>
          </w:tcPr>
          <w:p w14:paraId="48A9D8B6" w14:textId="08155F81"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5AB658EF"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14:paraId="512679F9" w14:textId="41000185"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33E86" w14:paraId="742301B1" w14:textId="77777777" w:rsidTr="00882B23">
        <w:tc>
          <w:tcPr>
            <w:tcW w:w="3397" w:type="dxa"/>
          </w:tcPr>
          <w:p w14:paraId="7EA92E29" w14:textId="6686436A"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Employee Records</w:t>
            </w:r>
          </w:p>
        </w:tc>
        <w:tc>
          <w:tcPr>
            <w:tcW w:w="5926" w:type="dxa"/>
          </w:tcPr>
          <w:p w14:paraId="3B5CD9F9" w14:textId="4C022339"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date of termination of employment</w:t>
            </w:r>
          </w:p>
        </w:tc>
      </w:tr>
      <w:tr w:rsidR="00F33E86" w14:paraId="72C3B3DA" w14:textId="77777777" w:rsidTr="00882B23">
        <w:tc>
          <w:tcPr>
            <w:tcW w:w="3397" w:type="dxa"/>
          </w:tcPr>
          <w:p w14:paraId="2D2EFCF2" w14:textId="55616E01"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Pension Records</w:t>
            </w:r>
            <w:r w:rsidR="001E596C">
              <w:rPr>
                <w:rFonts w:asciiTheme="minorHAnsi" w:hAnsiTheme="minorHAnsi" w:cstheme="minorHAnsi"/>
                <w:color w:val="000000"/>
                <w:szCs w:val="24"/>
              </w:rPr>
              <w:t xml:space="preserve"> (money purchase)</w:t>
            </w:r>
          </w:p>
        </w:tc>
        <w:tc>
          <w:tcPr>
            <w:tcW w:w="5926" w:type="dxa"/>
          </w:tcPr>
          <w:p w14:paraId="7EAA9FDC" w14:textId="63D851E6" w:rsidR="00F33E86"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6 year</w:t>
            </w:r>
            <w:r>
              <w:rPr>
                <w:rFonts w:asciiTheme="minorHAnsi" w:hAnsiTheme="minorHAnsi" w:cstheme="minorHAnsi"/>
                <w:color w:val="000000"/>
                <w:szCs w:val="24"/>
              </w:rPr>
              <w:t>s after transfer or value taken</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1EA3749C" w:rsidR="001E596C" w:rsidRPr="001E596C" w:rsidRDefault="002A1A85"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7A35B6" w14:paraId="6FDA402B" w14:textId="77777777" w:rsidTr="00882B23">
        <w:tc>
          <w:tcPr>
            <w:tcW w:w="3397" w:type="dxa"/>
          </w:tcPr>
          <w:p w14:paraId="5EEC4681" w14:textId="735C6A6C"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Other Record</w:t>
            </w:r>
          </w:p>
        </w:tc>
        <w:tc>
          <w:tcPr>
            <w:tcW w:w="5926" w:type="dxa"/>
          </w:tcPr>
          <w:p w14:paraId="2959A9F7" w14:textId="77777777" w:rsidR="007A35B6" w:rsidRPr="001E596C" w:rsidRDefault="007A35B6" w:rsidP="002A57EE">
            <w:pPr>
              <w:pStyle w:val="BodyText"/>
              <w:jc w:val="left"/>
              <w:rPr>
                <w:rFonts w:asciiTheme="minorHAnsi" w:hAnsiTheme="minorHAnsi" w:cstheme="minorHAnsi"/>
                <w:color w:val="000000"/>
                <w:szCs w:val="24"/>
              </w:rPr>
            </w:pP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7704D812" w14:textId="77777777" w:rsidR="00493529" w:rsidRDefault="00493529" w:rsidP="002A57EE">
      <w:pPr>
        <w:pStyle w:val="BodyText"/>
        <w:jc w:val="left"/>
        <w:rPr>
          <w:rFonts w:asciiTheme="minorHAnsi" w:hAnsiTheme="minorHAnsi" w:cstheme="minorHAnsi"/>
          <w:b/>
          <w:color w:val="000000"/>
          <w:szCs w:val="24"/>
        </w:rPr>
      </w:pPr>
    </w:p>
    <w:p w14:paraId="17F0FC7C" w14:textId="77777777" w:rsidR="0068509E" w:rsidRDefault="0068509E" w:rsidP="002A57EE">
      <w:pPr>
        <w:pStyle w:val="BodyText"/>
        <w:jc w:val="left"/>
        <w:rPr>
          <w:rFonts w:asciiTheme="minorHAnsi" w:hAnsiTheme="minorHAnsi" w:cstheme="minorHAnsi"/>
          <w:b/>
          <w:color w:val="000000"/>
          <w:szCs w:val="24"/>
        </w:rPr>
      </w:pPr>
    </w:p>
    <w:p w14:paraId="5FB6BD99" w14:textId="77777777" w:rsidR="00966AEC" w:rsidRPr="00966AEC" w:rsidRDefault="00966AEC" w:rsidP="002A57EE">
      <w:pPr>
        <w:pStyle w:val="BodyText"/>
        <w:jc w:val="left"/>
        <w:rPr>
          <w:rFonts w:asciiTheme="minorHAnsi" w:hAnsiTheme="minorHAnsi" w:cstheme="minorHAnsi"/>
          <w:b/>
          <w:color w:val="000000"/>
          <w:szCs w:val="24"/>
        </w:rPr>
      </w:pPr>
    </w:p>
    <w:p w14:paraId="3F1403F5" w14:textId="36E08E1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4ACC6A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574F58">
        <w:rPr>
          <w:rFonts w:asciiTheme="minorHAnsi" w:hAnsiTheme="minorHAnsi" w:cstheme="minorHAnsi"/>
          <w:color w:val="000000"/>
          <w:szCs w:val="24"/>
        </w:rPr>
        <w:t xml:space="preserve">Heath </w:t>
      </w:r>
      <w:r w:rsidR="000920A5">
        <w:rPr>
          <w:rFonts w:asciiTheme="minorHAnsi" w:hAnsiTheme="minorHAnsi" w:cstheme="minorHAnsi"/>
          <w:color w:val="000000"/>
          <w:szCs w:val="24"/>
        </w:rPr>
        <w:t>United Reformed Church</w:t>
      </w: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3169AEF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920A5">
        <w:rPr>
          <w:rFonts w:asciiTheme="minorHAnsi" w:hAnsiTheme="minorHAnsi" w:cstheme="minorHAnsi"/>
          <w:color w:val="000000"/>
          <w:szCs w:val="24"/>
        </w:rPr>
        <w:t xml:space="preserve">eldership of </w:t>
      </w:r>
      <w:r w:rsidR="00574F58">
        <w:rPr>
          <w:rFonts w:asciiTheme="minorHAnsi" w:hAnsiTheme="minorHAnsi" w:cstheme="minorHAnsi"/>
          <w:color w:val="000000"/>
          <w:szCs w:val="24"/>
        </w:rPr>
        <w:t>Heath</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corrects any personal data if it is found to be inaccurate or out of date;  </w:t>
      </w:r>
    </w:p>
    <w:p w14:paraId="776F9230" w14:textId="575A54E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574F58">
        <w:rPr>
          <w:rFonts w:asciiTheme="minorHAnsi" w:hAnsiTheme="minorHAnsi" w:cstheme="minorHAnsi"/>
          <w:color w:val="000000"/>
          <w:szCs w:val="24"/>
        </w:rPr>
        <w:t>Heath</w:t>
      </w:r>
      <w:r w:rsidR="000920A5">
        <w:rPr>
          <w:rFonts w:asciiTheme="minorHAnsi" w:hAnsiTheme="minorHAnsi" w:cstheme="minorHAnsi"/>
          <w:color w:val="000000"/>
          <w:szCs w:val="24"/>
        </w:rPr>
        <w:t xml:space="preserve"> United Reformed Church</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15DB3329"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BB6D8E">
        <w:rPr>
          <w:rFonts w:asciiTheme="minorHAnsi" w:hAnsiTheme="minorHAnsi" w:cstheme="minorHAnsi"/>
          <w:color w:val="000000"/>
        </w:rPr>
        <w:t xml:space="preserve">contact the </w:t>
      </w:r>
      <w:r w:rsidR="001144B7" w:rsidRPr="00BB6D8E">
        <w:rPr>
          <w:rFonts w:asciiTheme="minorHAnsi" w:hAnsiTheme="minorHAnsi" w:cstheme="minorHAnsi"/>
          <w:color w:val="000000"/>
        </w:rPr>
        <w:t>Church Secretary</w:t>
      </w:r>
      <w:r w:rsidRPr="00BB6D8E">
        <w:rPr>
          <w:rFonts w:asciiTheme="minorHAnsi" w:hAnsiTheme="minorHAnsi" w:cstheme="minorHAnsi"/>
          <w:color w:val="000000"/>
        </w:rPr>
        <w:t xml:space="preserve"> at</w:t>
      </w:r>
      <w:r w:rsidR="001C2871" w:rsidRPr="00BB6D8E">
        <w:rPr>
          <w:rFonts w:asciiTheme="minorHAnsi" w:hAnsiTheme="minorHAnsi" w:cstheme="minorHAnsi"/>
          <w:color w:val="000000"/>
        </w:rPr>
        <w:t xml:space="preserve"> </w:t>
      </w:r>
      <w:hyperlink r:id="rId9" w:history="1">
        <w:r w:rsidR="006623C8" w:rsidRPr="00256611">
          <w:rPr>
            <w:rStyle w:val="Hyperlink"/>
            <w:rFonts w:asciiTheme="minorHAnsi" w:hAnsiTheme="minorHAnsi" w:cstheme="minorHAnsi"/>
          </w:rPr>
          <w:t>heathchurchhalifax@gmail.com</w:t>
        </w:r>
      </w:hyperlink>
      <w:r w:rsidR="006623C8">
        <w:rPr>
          <w:rFonts w:asciiTheme="minorHAnsi" w:hAnsiTheme="minorHAnsi" w:cstheme="minorHAnsi"/>
          <w:color w:val="000000"/>
        </w:rPr>
        <w:t xml:space="preserve">  </w:t>
      </w:r>
      <w:r w:rsidR="00BB6D8E" w:rsidRPr="00BB6D8E">
        <w:rPr>
          <w:rFonts w:asciiTheme="minorHAnsi" w:hAnsiTheme="minorHAnsi" w:cstheme="minorHAnsi"/>
          <w:color w:val="000000"/>
        </w:rPr>
        <w:t xml:space="preserve"> or </w:t>
      </w:r>
      <w:r w:rsidR="006623C8">
        <w:rPr>
          <w:rFonts w:asciiTheme="minorHAnsi" w:hAnsiTheme="minorHAnsi" w:cstheme="minorHAnsi"/>
          <w:color w:val="000000"/>
        </w:rPr>
        <w:t xml:space="preserve"> </w:t>
      </w:r>
      <w:r w:rsidR="00BB6D8E" w:rsidRPr="00BB6D8E">
        <w:rPr>
          <w:rFonts w:asciiTheme="minorHAnsi" w:hAnsiTheme="minorHAnsi" w:cstheme="minorHAnsi"/>
          <w:color w:val="000000"/>
        </w:rPr>
        <w:t>07748988161</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38ABF936" w:rsidR="003B335C" w:rsidRDefault="003B335C" w:rsidP="002A57EE">
      <w:pPr>
        <w:rPr>
          <w:rFonts w:asciiTheme="minorHAnsi" w:hAnsiTheme="minorHAnsi" w:cstheme="minorHAnsi"/>
        </w:rPr>
      </w:pPr>
    </w:p>
    <w:p w14:paraId="38846A21" w14:textId="4AE841D7" w:rsidR="00BC5717" w:rsidRDefault="00BC5717"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7464ED02" w:rsidR="00BC5717" w:rsidRPr="00BB6D8E" w:rsidRDefault="00BC5717" w:rsidP="002A57EE">
      <w:pPr>
        <w:rPr>
          <w:rFonts w:asciiTheme="minorHAnsi" w:hAnsiTheme="minorHAnsi" w:cstheme="minorHAnsi"/>
        </w:rPr>
      </w:pPr>
      <w:r w:rsidRPr="00BB6D8E">
        <w:rPr>
          <w:rFonts w:asciiTheme="minorHAnsi" w:hAnsiTheme="minorHAnsi" w:cstheme="minorHAnsi"/>
        </w:rPr>
        <w:t>The Elders</w:t>
      </w:r>
    </w:p>
    <w:p w14:paraId="5EE56601" w14:textId="5321A24D" w:rsidR="00BC5717" w:rsidRPr="00BB6D8E" w:rsidRDefault="001C2871" w:rsidP="002A57EE">
      <w:pPr>
        <w:rPr>
          <w:rFonts w:asciiTheme="minorHAnsi" w:hAnsiTheme="minorHAnsi" w:cstheme="minorHAnsi"/>
        </w:rPr>
      </w:pPr>
      <w:r w:rsidRPr="00BB6D8E">
        <w:rPr>
          <w:rFonts w:asciiTheme="minorHAnsi" w:hAnsiTheme="minorHAnsi" w:cstheme="minorHAnsi"/>
        </w:rPr>
        <w:t xml:space="preserve">Heath </w:t>
      </w:r>
      <w:r w:rsidR="00BC5717" w:rsidRPr="00BB6D8E">
        <w:rPr>
          <w:rFonts w:asciiTheme="minorHAnsi" w:hAnsiTheme="minorHAnsi" w:cstheme="minorHAnsi"/>
        </w:rPr>
        <w:t>United Reformed Church</w:t>
      </w:r>
    </w:p>
    <w:p w14:paraId="3C8E8D76" w14:textId="62942DDC" w:rsidR="00BC5717" w:rsidRPr="007B2B9C" w:rsidRDefault="006623C8" w:rsidP="002A57EE">
      <w:pPr>
        <w:rPr>
          <w:rFonts w:asciiTheme="minorHAnsi" w:hAnsiTheme="minorHAnsi" w:cstheme="minorHAnsi"/>
        </w:rPr>
      </w:pPr>
      <w:r w:rsidRPr="00966AEC">
        <w:rPr>
          <w:rFonts w:asciiTheme="minorHAnsi" w:hAnsiTheme="minorHAnsi" w:cstheme="minorHAnsi"/>
        </w:rPr>
        <w:t xml:space="preserve">April </w:t>
      </w:r>
      <w:r w:rsidR="0037137D" w:rsidRPr="00966AEC">
        <w:rPr>
          <w:rFonts w:asciiTheme="minorHAnsi" w:hAnsiTheme="minorHAnsi" w:cstheme="minorHAnsi"/>
        </w:rPr>
        <w:t>17</w:t>
      </w:r>
      <w:r w:rsidR="0037137D" w:rsidRPr="00966AEC">
        <w:rPr>
          <w:rFonts w:asciiTheme="minorHAnsi" w:hAnsiTheme="minorHAnsi" w:cstheme="minorHAnsi"/>
          <w:vertAlign w:val="superscript"/>
        </w:rPr>
        <w:t>th</w:t>
      </w:r>
      <w:r w:rsidR="0037137D" w:rsidRPr="00966AEC">
        <w:rPr>
          <w:rFonts w:asciiTheme="minorHAnsi" w:hAnsiTheme="minorHAnsi" w:cstheme="minorHAnsi"/>
        </w:rPr>
        <w:t xml:space="preserve"> 2018</w:t>
      </w:r>
    </w:p>
    <w:sectPr w:rsidR="00BC5717" w:rsidRPr="007B2B9C" w:rsidSect="00913512">
      <w:footerReference w:type="default" r:id="rId11"/>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111A" w14:textId="77777777" w:rsidR="009854AC" w:rsidRDefault="009854AC" w:rsidP="007B2B9C">
      <w:r>
        <w:separator/>
      </w:r>
    </w:p>
  </w:endnote>
  <w:endnote w:type="continuationSeparator" w:id="0">
    <w:p w14:paraId="56264120" w14:textId="77777777" w:rsidR="009854AC" w:rsidRDefault="009854A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8FA" w14:textId="43F9FEFC" w:rsidR="008A63EF" w:rsidRDefault="008A63EF" w:rsidP="00977A39">
    <w:pPr>
      <w:pStyle w:val="Footer"/>
      <w:pBdr>
        <w:top w:val="single" w:sz="4" w:space="1" w:color="auto"/>
      </w:pBdr>
      <w:jc w:val="center"/>
      <w:rPr>
        <w:rFonts w:asciiTheme="minorHAnsi" w:hAnsiTheme="minorHAnsi"/>
        <w:color w:val="5B9BD5" w:themeColor="accent1"/>
        <w:sz w:val="22"/>
        <w:szCs w:val="22"/>
      </w:rPr>
    </w:pPr>
    <w:r w:rsidRPr="00BC5717">
      <w:rPr>
        <w:rFonts w:asciiTheme="minorHAnsi" w:hAnsiTheme="minorHAnsi"/>
        <w:color w:val="5B9BD5" w:themeColor="accent1"/>
        <w:sz w:val="22"/>
        <w:szCs w:val="22"/>
      </w:rPr>
      <w:t xml:space="preserve">Page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PAGE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r w:rsidRPr="00BC5717">
      <w:rPr>
        <w:rFonts w:asciiTheme="minorHAnsi" w:hAnsiTheme="minorHAnsi"/>
        <w:color w:val="5B9BD5" w:themeColor="accent1"/>
        <w:sz w:val="22"/>
        <w:szCs w:val="22"/>
      </w:rPr>
      <w:t xml:space="preserve"> of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NUMPAGES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p>
  <w:p w14:paraId="15871B2F" w14:textId="1489F37F" w:rsidR="008A63EF" w:rsidRPr="00E913F1" w:rsidRDefault="00371578" w:rsidP="00BC5717">
    <w:pPr>
      <w:pStyle w:val="Footer"/>
      <w:jc w:val="right"/>
      <w:rPr>
        <w:rFonts w:asciiTheme="minorHAnsi" w:hAnsiTheme="minorHAnsi"/>
        <w:i/>
        <w:color w:val="5B9BD5" w:themeColor="accent1"/>
        <w:sz w:val="20"/>
        <w:szCs w:val="20"/>
      </w:rPr>
    </w:pPr>
    <w:r>
      <w:rPr>
        <w:rFonts w:asciiTheme="minorHAnsi" w:hAnsiTheme="minorHAnsi"/>
        <w:i/>
        <w:color w:val="5B9BD5" w:themeColor="accent1"/>
        <w:sz w:val="20"/>
        <w:szCs w:val="20"/>
      </w:rPr>
      <w:t xml:space="preserve">Heath </w:t>
    </w:r>
    <w:r w:rsidR="008A63EF" w:rsidRPr="00E913F1">
      <w:rPr>
        <w:rFonts w:asciiTheme="minorHAnsi" w:hAnsiTheme="minorHAnsi"/>
        <w:i/>
        <w:color w:val="5B9BD5" w:themeColor="accent1"/>
        <w:sz w:val="20"/>
        <w:szCs w:val="20"/>
      </w:rPr>
      <w:t xml:space="preserve">Data Privacy Statement v1- </w:t>
    </w:r>
    <w:r>
      <w:rPr>
        <w:rFonts w:asciiTheme="minorHAnsi" w:hAnsiTheme="minorHAnsi"/>
        <w:i/>
        <w:color w:val="5B9BD5" w:themeColor="accent1"/>
        <w:sz w:val="20"/>
        <w:szCs w:val="20"/>
      </w:rPr>
      <w:t>20</w:t>
    </w:r>
    <w:r w:rsidR="000E651C" w:rsidRPr="000E651C">
      <w:rPr>
        <w:rFonts w:asciiTheme="minorHAnsi" w:hAnsiTheme="minorHAnsi"/>
        <w:i/>
        <w:color w:val="5B9BD5" w:themeColor="accent1"/>
        <w:sz w:val="20"/>
        <w:szCs w:val="20"/>
        <w:vertAlign w:val="superscript"/>
      </w:rPr>
      <w:t>th</w:t>
    </w:r>
    <w:r w:rsidR="000E651C">
      <w:rPr>
        <w:rFonts w:asciiTheme="minorHAnsi" w:hAnsiTheme="minorHAnsi"/>
        <w:i/>
        <w:color w:val="5B9BD5" w:themeColor="accent1"/>
        <w:sz w:val="20"/>
        <w:szCs w:val="20"/>
      </w:rPr>
      <w:t xml:space="preserve"> March</w:t>
    </w:r>
    <w:r w:rsidR="008A63EF" w:rsidRPr="00E913F1">
      <w:rPr>
        <w:rFonts w:asciiTheme="minorHAnsi" w:hAnsiTheme="minorHAnsi"/>
        <w:i/>
        <w:color w:val="5B9BD5" w:themeColor="accent1"/>
        <w:sz w:val="20"/>
        <w:szCs w:val="20"/>
      </w:rPr>
      <w:t xml:space="preserve"> 2018</w:t>
    </w:r>
  </w:p>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4829" w14:textId="77777777" w:rsidR="009854AC" w:rsidRDefault="009854AC" w:rsidP="007B2B9C">
      <w:r>
        <w:separator/>
      </w:r>
    </w:p>
  </w:footnote>
  <w:footnote w:type="continuationSeparator" w:id="0">
    <w:p w14:paraId="5B5253BA" w14:textId="77777777" w:rsidR="009854AC" w:rsidRDefault="009854AC"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837F4"/>
    <w:rsid w:val="000920A5"/>
    <w:rsid w:val="000E651C"/>
    <w:rsid w:val="001144B7"/>
    <w:rsid w:val="001C2871"/>
    <w:rsid w:val="001E596C"/>
    <w:rsid w:val="00224AA9"/>
    <w:rsid w:val="002A1A85"/>
    <w:rsid w:val="002A57EE"/>
    <w:rsid w:val="002A7C38"/>
    <w:rsid w:val="002C1CB4"/>
    <w:rsid w:val="002D349C"/>
    <w:rsid w:val="00340429"/>
    <w:rsid w:val="003700A3"/>
    <w:rsid w:val="0037137D"/>
    <w:rsid w:val="00371578"/>
    <w:rsid w:val="003B335C"/>
    <w:rsid w:val="003B68BD"/>
    <w:rsid w:val="003C7019"/>
    <w:rsid w:val="00401A5C"/>
    <w:rsid w:val="00437BAA"/>
    <w:rsid w:val="00493529"/>
    <w:rsid w:val="004D10F0"/>
    <w:rsid w:val="004F241E"/>
    <w:rsid w:val="005069EF"/>
    <w:rsid w:val="00540BAE"/>
    <w:rsid w:val="00574F58"/>
    <w:rsid w:val="006623C8"/>
    <w:rsid w:val="00681249"/>
    <w:rsid w:val="0068509E"/>
    <w:rsid w:val="00696FD8"/>
    <w:rsid w:val="006D2D23"/>
    <w:rsid w:val="007A35B6"/>
    <w:rsid w:val="007B2B9C"/>
    <w:rsid w:val="0083251A"/>
    <w:rsid w:val="00882B23"/>
    <w:rsid w:val="008A63EF"/>
    <w:rsid w:val="008C2984"/>
    <w:rsid w:val="00913512"/>
    <w:rsid w:val="009550C1"/>
    <w:rsid w:val="00966AEC"/>
    <w:rsid w:val="00977A39"/>
    <w:rsid w:val="009854AC"/>
    <w:rsid w:val="009B1F12"/>
    <w:rsid w:val="00A32A1D"/>
    <w:rsid w:val="00A37F5A"/>
    <w:rsid w:val="00B4237B"/>
    <w:rsid w:val="00B65D8C"/>
    <w:rsid w:val="00BB6D8E"/>
    <w:rsid w:val="00BC5717"/>
    <w:rsid w:val="00BF5A91"/>
    <w:rsid w:val="00C06F95"/>
    <w:rsid w:val="00C439A0"/>
    <w:rsid w:val="00C5733F"/>
    <w:rsid w:val="00D7598E"/>
    <w:rsid w:val="00D90A3C"/>
    <w:rsid w:val="00DE1E50"/>
    <w:rsid w:val="00E52157"/>
    <w:rsid w:val="00E913F1"/>
    <w:rsid w:val="00F33E86"/>
    <w:rsid w:val="00F36884"/>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heathchurchhalifa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02B0-904A-40F6-8182-DA075F25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Jane Simmons</cp:lastModifiedBy>
  <cp:revision>18</cp:revision>
  <dcterms:created xsi:type="dcterms:W3CDTF">2018-03-20T15:01:00Z</dcterms:created>
  <dcterms:modified xsi:type="dcterms:W3CDTF">2018-04-22T08:10:00Z</dcterms:modified>
</cp:coreProperties>
</file>